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A4DD" w14:textId="7770667F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653D3E" w:rsidRPr="009A2FC7">
        <w:rPr>
          <w:noProof/>
          <w:sz w:val="38"/>
          <w:szCs w:val="38"/>
        </w:rPr>
        <w:t>I</w:t>
      </w:r>
      <w:r w:rsidR="004879D6" w:rsidRPr="009A2FC7">
        <w:rPr>
          <w:noProof/>
          <w:sz w:val="38"/>
          <w:szCs w:val="38"/>
        </w:rPr>
        <w:t>ntellectual Property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CE32F4">
        <w:rPr>
          <w:noProof/>
          <w:sz w:val="38"/>
          <w:szCs w:val="38"/>
        </w:rPr>
        <w:t>1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269DE9B2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</w:t>
            </w:r>
            <w:r w:rsidR="00CE32F4">
              <w:rPr>
                <w:i w:val="0"/>
              </w:rPr>
              <w:t>1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9A2FC7">
              <w:rPr>
                <w:i w:val="0"/>
              </w:rPr>
              <w:t>IP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09CCE44F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B62872">
              <w:rPr>
                <w:b/>
                <w:i w:val="0"/>
                <w:color w:val="FF0000"/>
                <w:u w:val="single"/>
              </w:rPr>
              <w:t xml:space="preserve">October </w:t>
            </w:r>
            <w:r w:rsidR="00F17587">
              <w:rPr>
                <w:b/>
                <w:i w:val="0"/>
                <w:color w:val="FF0000"/>
                <w:u w:val="single"/>
              </w:rPr>
              <w:t>8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539CFBA9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4660C5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6CB180D2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C37C49">
              <w:rPr>
                <w:b/>
                <w:lang w:eastAsia="zh-CN"/>
              </w:rPr>
              <w:t xml:space="preserve">IP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06D2252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C37C49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66EA73E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19F8BA2D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BB103B">
              <w:rPr>
                <w:b/>
                <w:lang w:eastAsia="zh-CN"/>
              </w:rPr>
              <w:t>IP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EC9A" w14:textId="77777777" w:rsidR="00D60D11" w:rsidRDefault="00D60D11">
      <w:pPr>
        <w:spacing w:after="0" w:line="240" w:lineRule="auto"/>
      </w:pPr>
      <w:r>
        <w:separator/>
      </w:r>
    </w:p>
  </w:endnote>
  <w:endnote w:type="continuationSeparator" w:id="0">
    <w:p w14:paraId="76A94769" w14:textId="77777777" w:rsidR="00D60D11" w:rsidRDefault="00D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13A55A7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94B5" w14:textId="77777777" w:rsidR="00D60D11" w:rsidRDefault="00D60D11">
      <w:pPr>
        <w:spacing w:after="0" w:line="240" w:lineRule="auto"/>
      </w:pPr>
      <w:r>
        <w:separator/>
      </w:r>
    </w:p>
  </w:footnote>
  <w:footnote w:type="continuationSeparator" w:id="0">
    <w:p w14:paraId="7E10DC70" w14:textId="77777777" w:rsidR="00D60D11" w:rsidRDefault="00D6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0C51" w14:textId="6C290EB5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7B3049">
      <w:rPr>
        <w:b/>
        <w:sz w:val="18"/>
      </w:rPr>
      <w:t>Intellectual Property</w:t>
    </w:r>
    <w:r w:rsidR="006D4262">
      <w:rPr>
        <w:b/>
        <w:sz w:val="18"/>
      </w:rPr>
      <w:t xml:space="preserve">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CE32F4">
      <w:rPr>
        <w:b/>
        <w:sz w:val="18"/>
      </w:rPr>
      <w:t>1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9779F"/>
    <w:rsid w:val="001B10AA"/>
    <w:rsid w:val="001C6370"/>
    <w:rsid w:val="001C6B5C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17309"/>
    <w:rsid w:val="00325D05"/>
    <w:rsid w:val="00333741"/>
    <w:rsid w:val="00352A85"/>
    <w:rsid w:val="0037292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436F"/>
    <w:rsid w:val="00C56B4B"/>
    <w:rsid w:val="00C64BDE"/>
    <w:rsid w:val="00C8768C"/>
    <w:rsid w:val="00CA27DB"/>
    <w:rsid w:val="00CD6579"/>
    <w:rsid w:val="00CD7A5D"/>
    <w:rsid w:val="00CE32F4"/>
    <w:rsid w:val="00CF59B5"/>
    <w:rsid w:val="00CF7EB6"/>
    <w:rsid w:val="00D249EE"/>
    <w:rsid w:val="00D27ABE"/>
    <w:rsid w:val="00D53470"/>
    <w:rsid w:val="00D60D11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17587"/>
    <w:rsid w:val="00F26FA1"/>
    <w:rsid w:val="00F450C9"/>
    <w:rsid w:val="00F55943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2E037881FF148B1204885B8F99AB5" ma:contentTypeVersion="13" ma:contentTypeDescription="Create a new document." ma:contentTypeScope="" ma:versionID="af1a77bb3f033f45bf29a72610f3a555">
  <xsd:schema xmlns:xsd="http://www.w3.org/2001/XMLSchema" xmlns:xs="http://www.w3.org/2001/XMLSchema" xmlns:p="http://schemas.microsoft.com/office/2006/metadata/properties" xmlns:ns3="65536eee-d696-44a2-9c62-9c31068949bc" xmlns:ns4="8fe7ad04-ed69-4aec-8eb9-44f0a160fe08" targetNamespace="http://schemas.microsoft.com/office/2006/metadata/properties" ma:root="true" ma:fieldsID="8b49c63c415e1ea1dc2535e756bd5ff1" ns3:_="" ns4:_="">
    <xsd:import namespace="65536eee-d696-44a2-9c62-9c31068949bc"/>
    <xsd:import namespace="8fe7ad04-ed69-4aec-8eb9-44f0a160f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6eee-d696-44a2-9c62-9c310689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ad04-ed69-4aec-8eb9-44f0a160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667CE-7FB5-4A2B-A971-41266AAD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6eee-d696-44a2-9c62-9c31068949bc"/>
    <ds:schemaRef ds:uri="8fe7ad04-ed69-4aec-8eb9-44f0a160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8BFA3-FAE9-48A2-BF41-E6D2BE6113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E48A1-1DB2-4B17-A8B1-03839651EE37}">
  <ds:schemaRefs>
    <ds:schemaRef ds:uri="65536eee-d696-44a2-9c62-9c31068949b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fe7ad04-ed69-4aec-8eb9-44f0a160fe08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4</cp:revision>
  <dcterms:created xsi:type="dcterms:W3CDTF">2021-04-26T03:30:00Z</dcterms:created>
  <dcterms:modified xsi:type="dcterms:W3CDTF">2021-09-08T07:07:00Z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0x0101005EA2E037881FF148B1204885B8F99AB5</vt:lpwstr>
  </property>
</Properties>
</file>